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B817F">
      <w:pPr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 О С С И Й С К А Я    Ф Е Д Е Р А Ц И Я</w:t>
      </w:r>
    </w:p>
    <w:p w14:paraId="022958E3">
      <w:pPr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РЕЧИЦКАЯ СЕЛЬСКАЯ АДМИНИСТРАЦИЯ </w:t>
      </w:r>
    </w:p>
    <w:p w14:paraId="4843F38C">
      <w:pPr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ПОЧЕПСКОГО  РАЙОНА  БРЯНСКОЙ ОБЛАСТИ</w:t>
      </w:r>
    </w:p>
    <w:p w14:paraId="76091644">
      <w:pPr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</w:p>
    <w:p w14:paraId="27666395">
      <w:pPr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</w:p>
    <w:p w14:paraId="31DF3B49">
      <w:pPr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ПОСТАНОВЛЕНИЕ</w:t>
      </w:r>
    </w:p>
    <w:p w14:paraId="0028A510">
      <w:pPr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</w:p>
    <w:p w14:paraId="0CF6EABE">
      <w:pPr>
        <w:spacing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от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21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06</w:t>
      </w:r>
      <w:r>
        <w:rPr>
          <w:rFonts w:hint="default" w:ascii="Times New Roman" w:hAnsi="Times New Roman" w:cs="Times New Roman"/>
          <w:sz w:val="28"/>
          <w:szCs w:val="28"/>
        </w:rPr>
        <w:t>.20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24</w:t>
      </w:r>
      <w:r>
        <w:rPr>
          <w:rFonts w:hint="default" w:ascii="Times New Roman" w:hAnsi="Times New Roman" w:cs="Times New Roman"/>
          <w:sz w:val="28"/>
          <w:szCs w:val="28"/>
        </w:rPr>
        <w:t xml:space="preserve"> года  №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36</w:t>
      </w:r>
      <w:r>
        <w:rPr>
          <w:rFonts w:hint="default" w:ascii="Times New Roman" w:hAnsi="Times New Roman" w:cs="Times New Roman"/>
          <w:sz w:val="28"/>
          <w:szCs w:val="28"/>
        </w:rPr>
        <w:t xml:space="preserve">         </w:t>
      </w:r>
    </w:p>
    <w:p w14:paraId="7A5D9D68">
      <w:pPr>
        <w:spacing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п. Речица</w:t>
      </w:r>
    </w:p>
    <w:p w14:paraId="2C0183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6359500">
      <w:pPr>
        <w:pStyle w:val="9"/>
        <w:widowControl/>
        <w:ind w:firstLine="851"/>
        <w:jc w:val="lef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Об утверждении порядка разработки прогноза социально-экономического развития муниципального образования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Речицкое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сельское поселение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Почепского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Брянской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области</w:t>
      </w:r>
    </w:p>
    <w:p w14:paraId="0FCBEA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32CEEAA">
      <w:pPr>
        <w:autoSpaceDE w:val="0"/>
        <w:autoSpaceDN w:val="0"/>
        <w:adjustRightInd w:val="0"/>
        <w:spacing w:after="0" w:line="240" w:lineRule="auto"/>
        <w:ind w:firstLine="54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, Уставом муниципального образования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Речицкое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сельское поселение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Брянской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области, администрация МО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Речицкое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сельское поселение</w:t>
      </w:r>
    </w:p>
    <w:p w14:paraId="2BD82E36">
      <w:pPr>
        <w:autoSpaceDE w:val="0"/>
        <w:autoSpaceDN w:val="0"/>
        <w:adjustRightInd w:val="0"/>
        <w:spacing w:after="0" w:line="240" w:lineRule="auto"/>
        <w:ind w:firstLine="540"/>
        <w:jc w:val="left"/>
        <w:rPr>
          <w:rFonts w:ascii="Times New Roman" w:hAnsi="Times New Roman"/>
          <w:sz w:val="28"/>
          <w:szCs w:val="28"/>
        </w:rPr>
      </w:pPr>
    </w:p>
    <w:p w14:paraId="25B2B6F2">
      <w:pPr>
        <w:autoSpaceDE w:val="0"/>
        <w:autoSpaceDN w:val="0"/>
        <w:adjustRightInd w:val="0"/>
        <w:spacing w:after="0" w:line="240" w:lineRule="auto"/>
        <w:ind w:firstLine="54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ПОСТАНОВЛЯЕТ:</w:t>
      </w:r>
    </w:p>
    <w:p w14:paraId="00859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1EBEBD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Style w:val="10"/>
          <w:sz w:val="28"/>
          <w:szCs w:val="28"/>
        </w:rPr>
        <w:t xml:space="preserve">1. </w:t>
      </w:r>
      <w:r>
        <w:rPr>
          <w:rStyle w:val="10"/>
          <w:sz w:val="28"/>
        </w:rPr>
        <w:t xml:space="preserve">Утвердить прилагаемый Порядок </w:t>
      </w:r>
      <w:r>
        <w:rPr>
          <w:rFonts w:ascii="Times New Roman" w:hAnsi="Times New Roman"/>
          <w:sz w:val="28"/>
          <w:szCs w:val="28"/>
        </w:rPr>
        <w:t xml:space="preserve">разработки прогноза социально-экономического развития муниципального образования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Речицкое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сельское поселение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Брянской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 согласно приложению.</w:t>
      </w:r>
    </w:p>
    <w:p w14:paraId="1D326EFB">
      <w:pPr>
        <w:pStyle w:val="11"/>
        <w:numPr>
          <w:ilvl w:val="0"/>
          <w:numId w:val="0"/>
        </w:numPr>
        <w:spacing w:after="0" w:line="276" w:lineRule="auto"/>
        <w:ind w:firstLine="560" w:firstLineChars="200"/>
        <w:jc w:val="both"/>
        <w:rPr>
          <w:rFonts w:ascii="Times New Roman" w:hAnsi="Times New Roman"/>
          <w:sz w:val="28"/>
          <w:szCs w:val="28"/>
        </w:rPr>
      </w:pPr>
      <w:r>
        <w:rPr>
          <w:rFonts w:hint="default" w:ascii="Times New Roman" w:hAnsi="Times New Roman"/>
          <w:color w:val="242424"/>
          <w:sz w:val="28"/>
          <w:szCs w:val="28"/>
          <w:lang w:val="ru-RU"/>
        </w:rPr>
        <w:t xml:space="preserve">2. </w:t>
      </w:r>
      <w:r>
        <w:rPr>
          <w:rFonts w:ascii="Times New Roman" w:hAnsi="Times New Roman"/>
          <w:color w:val="242424"/>
          <w:sz w:val="28"/>
          <w:szCs w:val="28"/>
        </w:rPr>
        <w:t xml:space="preserve">Настоящее постановление подлежит официальному опубликованию (обнародованию), согласно Устава </w:t>
      </w:r>
      <w:r>
        <w:rPr>
          <w:rFonts w:ascii="Times New Roman" w:hAnsi="Times New Roman"/>
          <w:color w:val="242424"/>
          <w:sz w:val="28"/>
          <w:szCs w:val="28"/>
          <w:lang w:val="ru-RU"/>
        </w:rPr>
        <w:t>Речицкого</w:t>
      </w:r>
      <w:r>
        <w:rPr>
          <w:rFonts w:hint="default" w:ascii="Times New Roman" w:hAnsi="Times New Roman"/>
          <w:color w:val="24242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242424"/>
          <w:sz w:val="28"/>
          <w:szCs w:val="28"/>
        </w:rPr>
        <w:t xml:space="preserve"> сельского поселения и размещению на официальном сайте администрации в сети Интернет.</w:t>
      </w:r>
    </w:p>
    <w:p w14:paraId="511FAFCE">
      <w:pPr>
        <w:pStyle w:val="11"/>
        <w:numPr>
          <w:ilvl w:val="0"/>
          <w:numId w:val="0"/>
        </w:numPr>
        <w:spacing w:after="0" w:line="276" w:lineRule="auto"/>
        <w:ind w:firstLine="560" w:firstLineChars="200"/>
        <w:jc w:val="both"/>
        <w:rPr>
          <w:rFonts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  <w:lang w:val="ru-RU"/>
        </w:rPr>
        <w:t xml:space="preserve">3. </w:t>
      </w:r>
      <w:r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собой.</w:t>
      </w:r>
    </w:p>
    <w:p w14:paraId="15DE8780">
      <w:pPr>
        <w:pStyle w:val="11"/>
        <w:numPr>
          <w:ilvl w:val="0"/>
          <w:numId w:val="0"/>
        </w:numPr>
        <w:spacing w:after="0" w:line="276" w:lineRule="auto"/>
        <w:ind w:firstLine="560" w:firstLineChars="200"/>
        <w:jc w:val="both"/>
        <w:rPr>
          <w:rFonts w:ascii="Times New Roman" w:hAnsi="Times New Roman"/>
          <w:sz w:val="28"/>
          <w:szCs w:val="28"/>
        </w:rPr>
      </w:pPr>
    </w:p>
    <w:p w14:paraId="4479D5A0">
      <w:pPr>
        <w:pStyle w:val="11"/>
        <w:numPr>
          <w:ilvl w:val="0"/>
          <w:numId w:val="0"/>
        </w:numPr>
        <w:spacing w:after="0" w:line="276" w:lineRule="auto"/>
        <w:ind w:firstLine="560" w:firstLineChars="200"/>
        <w:jc w:val="both"/>
        <w:rPr>
          <w:rFonts w:ascii="Times New Roman" w:hAnsi="Times New Roman"/>
          <w:sz w:val="28"/>
          <w:szCs w:val="28"/>
        </w:rPr>
      </w:pPr>
    </w:p>
    <w:p w14:paraId="419D2C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973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A249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9989B8">
      <w:pPr>
        <w:spacing w:after="0" w:line="240" w:lineRule="auto"/>
        <w:ind w:firstLine="709"/>
        <w:jc w:val="both"/>
        <w:rPr>
          <w:rFonts w:hint="default"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поселения                                         Н.Н.Шипулина</w:t>
      </w:r>
    </w:p>
    <w:p w14:paraId="2EA160B7">
      <w:pPr>
        <w:spacing w:after="0" w:line="240" w:lineRule="auto"/>
        <w:ind w:left="6237"/>
        <w:rPr>
          <w:rFonts w:ascii="Times New Roman" w:hAnsi="Times New Roman"/>
          <w:sz w:val="24"/>
          <w:szCs w:val="28"/>
        </w:rPr>
      </w:pPr>
    </w:p>
    <w:p w14:paraId="426938E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14:paraId="7B21E895">
      <w:pPr>
        <w:spacing w:after="0" w:line="240" w:lineRule="auto"/>
        <w:ind w:firstLine="5520" w:firstLineChars="2300"/>
        <w:rPr>
          <w:rFonts w:ascii="Times New Roman" w:hAnsi="Times New Roman"/>
          <w:sz w:val="24"/>
          <w:szCs w:val="28"/>
          <w:lang w:val="ru-RU"/>
        </w:rPr>
      </w:pPr>
      <w:r>
        <w:rPr>
          <w:rFonts w:ascii="Times New Roman" w:hAnsi="Times New Roman"/>
          <w:sz w:val="24"/>
          <w:szCs w:val="28"/>
        </w:rPr>
        <w:t xml:space="preserve">Приложение </w:t>
      </w:r>
      <w:r>
        <w:rPr>
          <w:rFonts w:ascii="Times New Roman" w:hAnsi="Times New Roman"/>
          <w:sz w:val="24"/>
          <w:szCs w:val="28"/>
          <w:lang w:val="ru-RU"/>
        </w:rPr>
        <w:t>к</w:t>
      </w:r>
    </w:p>
    <w:p w14:paraId="33B55F7F">
      <w:pPr>
        <w:spacing w:after="0" w:line="240" w:lineRule="auto"/>
        <w:ind w:firstLine="5520" w:firstLineChars="2300"/>
        <w:rPr>
          <w:rFonts w:hint="default" w:ascii="Times New Roman" w:hAnsi="Times New Roman"/>
          <w:sz w:val="24"/>
          <w:szCs w:val="28"/>
          <w:lang w:val="ru-RU"/>
        </w:rPr>
      </w:pPr>
      <w:r>
        <w:rPr>
          <w:rFonts w:hint="default" w:ascii="Times New Roman" w:hAnsi="Times New Roman"/>
          <w:sz w:val="24"/>
          <w:szCs w:val="28"/>
          <w:lang w:val="ru-RU"/>
        </w:rPr>
        <w:t xml:space="preserve"> Постановлению № 36 от 21.06.2024г.</w:t>
      </w:r>
    </w:p>
    <w:p w14:paraId="0D888223">
      <w:pPr>
        <w:spacing w:after="0"/>
        <w:ind w:left="6237"/>
        <w:rPr>
          <w:rFonts w:ascii="Times New Roman" w:hAnsi="Times New Roman"/>
          <w:sz w:val="24"/>
          <w:szCs w:val="28"/>
        </w:rPr>
      </w:pPr>
    </w:p>
    <w:p w14:paraId="660C5C54">
      <w:pPr>
        <w:spacing w:after="0"/>
        <w:ind w:left="6237"/>
        <w:rPr>
          <w:rFonts w:ascii="Times New Roman" w:hAnsi="Times New Roman"/>
          <w:sz w:val="24"/>
          <w:szCs w:val="28"/>
        </w:rPr>
      </w:pPr>
    </w:p>
    <w:p w14:paraId="4021A7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 xml:space="preserve">Порядок </w:t>
      </w:r>
      <w:r>
        <w:rPr>
          <w:rFonts w:ascii="Times New Roman" w:hAnsi="Times New Roman"/>
          <w:b/>
          <w:sz w:val="28"/>
          <w:szCs w:val="28"/>
        </w:rPr>
        <w:t xml:space="preserve">разработки прогноза социально-экономического развития муниципального образования </w:t>
      </w:r>
      <w:r>
        <w:rPr>
          <w:rFonts w:ascii="Times New Roman" w:hAnsi="Times New Roman"/>
          <w:b/>
          <w:sz w:val="28"/>
          <w:szCs w:val="28"/>
          <w:lang w:val="ru-RU"/>
        </w:rPr>
        <w:t>Речицкое</w:t>
      </w: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r>
        <w:rPr>
          <w:rFonts w:ascii="Times New Roman" w:hAnsi="Times New Roman"/>
          <w:b/>
          <w:sz w:val="28"/>
          <w:szCs w:val="28"/>
          <w:lang w:val="ru-RU"/>
        </w:rPr>
        <w:t>Почепского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Брянской </w:t>
      </w:r>
      <w:r>
        <w:rPr>
          <w:rFonts w:ascii="Times New Roman" w:hAnsi="Times New Roman"/>
          <w:b/>
          <w:sz w:val="28"/>
          <w:szCs w:val="28"/>
        </w:rPr>
        <w:t xml:space="preserve"> области</w:t>
      </w:r>
    </w:p>
    <w:p w14:paraId="1C81CD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67C5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0C1618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5FED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Настоящий Порядок разработан в соответствии со статьей 173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 и иными нормативными правовыми актами Российской Федерации и </w:t>
      </w:r>
      <w:r>
        <w:rPr>
          <w:rFonts w:ascii="Times New Roman" w:hAnsi="Times New Roman" w:cs="Times New Roman"/>
          <w:b w:val="0"/>
          <w:bCs/>
          <w:sz w:val="28"/>
          <w:szCs w:val="28"/>
          <w:lang w:val="ru-RU"/>
        </w:rPr>
        <w:t>Брянской</w:t>
      </w:r>
      <w:r>
        <w:rPr>
          <w:rFonts w:ascii="Times New Roman" w:hAnsi="Times New Roman"/>
          <w:sz w:val="28"/>
          <w:szCs w:val="28"/>
        </w:rPr>
        <w:t xml:space="preserve"> области.</w:t>
      </w:r>
    </w:p>
    <w:p w14:paraId="751BC4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 Порядок устанавливает цели, задачи, структуру Прогноза социально-экономического развития муниципального образования </w:t>
      </w:r>
      <w:r>
        <w:rPr>
          <w:rFonts w:ascii="Times New Roman" w:hAnsi="Times New Roman"/>
          <w:sz w:val="28"/>
          <w:szCs w:val="28"/>
          <w:lang w:val="ru-RU"/>
        </w:rPr>
        <w:t>Речицкое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r>
        <w:rPr>
          <w:rFonts w:ascii="Times New Roman" w:hAnsi="Times New Roman"/>
          <w:sz w:val="28"/>
          <w:szCs w:val="28"/>
          <w:lang w:val="ru-RU"/>
        </w:rPr>
        <w:t>Почепского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  <w:lang w:val="ru-RU"/>
        </w:rPr>
        <w:t>Брянской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 (далее — Прогноз), определяет состав документов и порядок разработки Прогноза.</w:t>
      </w:r>
    </w:p>
    <w:p w14:paraId="3D5EBE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 настоящем Порядке используются следующие понятия и термины:</w:t>
      </w:r>
    </w:p>
    <w:p w14:paraId="083CEA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социально-экономического развития — документ стратегического планирования, содержащий результаты процесса прогнозирования в форме системы социально-экономических показателей, характеризующих вероятное состояние социально-экономической ситуации в сельском поселении на среднесрочный период (прогнозный период) с учетом возможных тенденций развития (далее также Прогноз);</w:t>
      </w:r>
    </w:p>
    <w:p w14:paraId="75E858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отчетный финансовый год — год, предшествующий текущему финансовому году;</w:t>
      </w:r>
    </w:p>
    <w:p w14:paraId="1B01FD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финансовый год — год, в котором осуществляется исполнение бюджета, составление и рассмотрение проекта бюджета на очередной финансовый год (очередной финансовый год и плановый период);</w:t>
      </w:r>
    </w:p>
    <w:p w14:paraId="797253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очередной финансовый год — год, следующий за текущим финансовым годом;</w:t>
      </w:r>
    </w:p>
    <w:p w14:paraId="1200D1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плановый период — два года и более лет, следующие за очередным финансовым годом.</w:t>
      </w:r>
    </w:p>
    <w:p w14:paraId="3C7BF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 Прогноз определяет направления, ожидаемые результаты социально-экономического развития и разрабатывается в целях подготовки проекта бюджета администрации муниципального образования </w:t>
      </w:r>
      <w:r>
        <w:rPr>
          <w:rFonts w:ascii="Times New Roman" w:hAnsi="Times New Roman"/>
          <w:sz w:val="28"/>
          <w:szCs w:val="28"/>
          <w:lang w:val="ru-RU"/>
        </w:rPr>
        <w:t>Речицкое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r>
        <w:rPr>
          <w:rFonts w:ascii="Times New Roman" w:hAnsi="Times New Roman"/>
          <w:sz w:val="28"/>
          <w:szCs w:val="28"/>
          <w:lang w:val="ru-RU"/>
        </w:rPr>
        <w:t>Почепского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sz w:val="28"/>
          <w:szCs w:val="28"/>
          <w:lang w:val="ru-RU"/>
        </w:rPr>
        <w:t>Брянской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 на каждые три и более лет.</w:t>
      </w:r>
    </w:p>
    <w:p w14:paraId="401B95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 Основные задачи Прогноза:</w:t>
      </w:r>
    </w:p>
    <w:p w14:paraId="092DD4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процессов, тенденций и закономерностей, происходящих в экономике и социальной сфере муниципального образования </w:t>
      </w:r>
      <w:r>
        <w:rPr>
          <w:rFonts w:ascii="Times New Roman" w:hAnsi="Times New Roman"/>
          <w:sz w:val="28"/>
          <w:szCs w:val="28"/>
          <w:lang w:val="ru-RU"/>
        </w:rPr>
        <w:t>Речицкое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сельское поселение;</w:t>
      </w:r>
    </w:p>
    <w:p w14:paraId="0E3982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ситуации, сложившейся в экономике и социальной сфере муниципального образования.</w:t>
      </w:r>
    </w:p>
    <w:p w14:paraId="1712F7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Разработкой прогноза и представлением его главе администрации занимается сектор экономики и финансов  администрации МО </w:t>
      </w:r>
      <w:r>
        <w:rPr>
          <w:rFonts w:ascii="Times New Roman" w:hAnsi="Times New Roman"/>
          <w:sz w:val="28"/>
          <w:szCs w:val="28"/>
          <w:lang w:val="ru-RU"/>
        </w:rPr>
        <w:t>Речицкое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сельское поселение.</w:t>
      </w:r>
    </w:p>
    <w:p w14:paraId="31F01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Прогноз социально-экономического развития муниципального образования одобряется главой администрации  одновременно с принятием решения о внесении проекта бюджета муниципального образования на рассмотрение в Совет депутатов муниципального образования </w:t>
      </w:r>
      <w:r>
        <w:rPr>
          <w:rFonts w:ascii="Times New Roman" w:hAnsi="Times New Roman"/>
          <w:sz w:val="28"/>
          <w:szCs w:val="28"/>
          <w:lang w:val="ru-RU"/>
        </w:rPr>
        <w:t>Речицкое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r>
        <w:rPr>
          <w:rFonts w:ascii="Times New Roman" w:hAnsi="Times New Roman"/>
          <w:sz w:val="28"/>
          <w:szCs w:val="28"/>
          <w:lang w:val="ru-RU"/>
        </w:rPr>
        <w:t>Почепского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sz w:val="28"/>
          <w:szCs w:val="28"/>
          <w:lang w:val="ru-RU"/>
        </w:rPr>
        <w:t>Брянской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области. Изменение прогноза социально-экономического развития муниципального образования в ходе составления или рассмотрения проекта бюджета влечет за собой изменение основных характеристик проекта бюджета муниципального образования.</w:t>
      </w:r>
    </w:p>
    <w:p w14:paraId="610A8D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C1BA079">
      <w:pPr>
        <w:pStyle w:val="12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 Методы разработки прогноза</w:t>
      </w:r>
    </w:p>
    <w:p w14:paraId="49BC64AC">
      <w:pPr>
        <w:pStyle w:val="12"/>
        <w:jc w:val="center"/>
        <w:rPr>
          <w:rFonts w:cs="Times New Roman"/>
          <w:sz w:val="28"/>
          <w:szCs w:val="28"/>
        </w:rPr>
      </w:pPr>
    </w:p>
    <w:p w14:paraId="1BD3D3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Методы, используемые при разработке прогноза:</w:t>
      </w:r>
    </w:p>
    <w:p w14:paraId="69F8E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 экономико-статистический метод (изучение количественной стороны процессов при помощи статистических данных с целью выявления тенденций и закономерностей, происходящих в экономике);</w:t>
      </w:r>
    </w:p>
    <w:p w14:paraId="195D06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2.1.2. метод экспертных оценок (анализ тенденций, оценка влияния различных факторов и процессов и их взаимозависимости);</w:t>
      </w:r>
    </w:p>
    <w:p w14:paraId="65D51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2.1.3. метод экстраполяции (нахождение последующих значений путем умножения на индексы физического объема соответствующих показателей).</w:t>
      </w:r>
    </w:p>
    <w:p w14:paraId="104E3B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При разработке прогноза может использоваться комбинация нескольких методов.</w:t>
      </w:r>
    </w:p>
    <w:p w14:paraId="4740D56C">
      <w:pPr>
        <w:tabs>
          <w:tab w:val="left" w:pos="23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D0118D">
      <w:pPr>
        <w:pStyle w:val="12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3. Порядок разработки прогноза</w:t>
      </w:r>
    </w:p>
    <w:p w14:paraId="0B5925E4">
      <w:pPr>
        <w:pStyle w:val="12"/>
        <w:jc w:val="center"/>
        <w:rPr>
          <w:rFonts w:cs="Times New Roman"/>
          <w:sz w:val="28"/>
          <w:szCs w:val="28"/>
        </w:rPr>
      </w:pPr>
    </w:p>
    <w:p w14:paraId="4BABA0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Разработка прогноза осуществляется в соответствии с п. 1 ст. 173 Бюджетного кодекса Российской Федерации.</w:t>
      </w:r>
    </w:p>
    <w:p w14:paraId="6D7ACD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социально-экономического развития на очередной финансовый год и плановый период разрабатывается ежегодно путем уточнения параметров планового периода и добавления параметров очередного года планового периода. При определении значений прогнозируемых показателей учитываются мероприятия, предусмотренные муниципальными программами.</w:t>
      </w:r>
    </w:p>
    <w:p w14:paraId="6A49D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Основные задачи прогноза:</w:t>
      </w:r>
    </w:p>
    <w:p w14:paraId="0CD8F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 Комплексный анализ и оценка текущей социально-экономической ситуации в поселении.</w:t>
      </w:r>
    </w:p>
    <w:p w14:paraId="5C8BDF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 Формирование основных показателей социально-экономического развития поселения на очередной финансовый год и плановый период.</w:t>
      </w:r>
    </w:p>
    <w:p w14:paraId="570163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Разработка прогноза социально-экономического развития поселения на очередной финансовый год и плановый период осуществляется на основе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анализа социально-экономического развития муниципального образования за предшествующие годы.</w:t>
      </w:r>
    </w:p>
    <w:p w14:paraId="156F92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Разработка прогноза осуществляется по перечню показателей, утвержденных Правительством </w:t>
      </w:r>
      <w:r>
        <w:rPr>
          <w:rFonts w:ascii="Times New Roman" w:hAnsi="Times New Roman"/>
          <w:sz w:val="28"/>
          <w:szCs w:val="28"/>
          <w:lang w:val="ru-RU"/>
        </w:rPr>
        <w:t>Брянской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области, и включает количественные и качественные характеристики развития экономики и социальной сферы поселения.</w:t>
      </w:r>
    </w:p>
    <w:p w14:paraId="797B7F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Предприятия и организации  </w:t>
      </w:r>
      <w:r>
        <w:rPr>
          <w:rFonts w:ascii="Times New Roman" w:hAnsi="Times New Roman"/>
          <w:sz w:val="28"/>
          <w:szCs w:val="28"/>
          <w:lang w:val="ru-RU"/>
        </w:rPr>
        <w:t>Речицкого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сельского поселения предоставляют информацию, разъясняющую причины всех существенных колебаний прогнозируемых показателей.</w:t>
      </w:r>
    </w:p>
    <w:p w14:paraId="6CCA53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Прогноз разрабатывается и предоставляется в комитет финансов администрации МО </w:t>
      </w:r>
      <w:r>
        <w:rPr>
          <w:rFonts w:ascii="Times New Roman" w:hAnsi="Times New Roman"/>
          <w:sz w:val="28"/>
          <w:szCs w:val="28"/>
          <w:lang w:val="ru-RU"/>
        </w:rPr>
        <w:t>Почепский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муниципальный район </w:t>
      </w:r>
      <w:r>
        <w:rPr>
          <w:rFonts w:ascii="Times New Roman" w:hAnsi="Times New Roman"/>
          <w:sz w:val="28"/>
          <w:szCs w:val="28"/>
          <w:lang w:val="ru-RU"/>
        </w:rPr>
        <w:t>Брянской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области в сроки, установленные муниципальными нормативными актами, регламентирующими бюджетный процесс.</w:t>
      </w:r>
    </w:p>
    <w:p w14:paraId="29B65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249E1C0">
      <w:pPr>
        <w:pStyle w:val="12"/>
        <w:ind w:left="36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4. Состав документов прогноза</w:t>
      </w:r>
    </w:p>
    <w:p w14:paraId="4CB3606F">
      <w:pPr>
        <w:pStyle w:val="12"/>
        <w:ind w:left="360"/>
        <w:jc w:val="center"/>
        <w:rPr>
          <w:rFonts w:cs="Times New Roman"/>
          <w:b/>
          <w:sz w:val="28"/>
          <w:szCs w:val="28"/>
        </w:rPr>
      </w:pPr>
    </w:p>
    <w:p w14:paraId="4923D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Прогноз включает в себя таблицу с отчетными и прогнозными значениями основных показателей социально-экономического развития поселения и пояснительную записку.</w:t>
      </w:r>
    </w:p>
    <w:p w14:paraId="116659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Таблица показателей прогноза социально-экономического развития поселения включает данные за отчетный период, оценку текущего финансового года и прогнозные данные на очередной финансовый год и плановый период.</w:t>
      </w:r>
    </w:p>
    <w:p w14:paraId="3EB789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Пояснительная записка формируется по разделам, отражающим структуру основных показателей социально-экономического развития муниципального образования:</w:t>
      </w:r>
    </w:p>
    <w:p w14:paraId="14C1C18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1). Общая оценка социально-экономической ситуации в муниципальном образовании за отчетный период;</w:t>
      </w:r>
    </w:p>
    <w:p w14:paraId="42189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 Промышленное производство;</w:t>
      </w:r>
    </w:p>
    <w:p w14:paraId="67DF5E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3). Инвестиции;</w:t>
      </w:r>
    </w:p>
    <w:p w14:paraId="18EF6E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4). Строительство;</w:t>
      </w:r>
    </w:p>
    <w:p w14:paraId="1CF8DE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5). Потребительский рынок;</w:t>
      </w:r>
    </w:p>
    <w:p w14:paraId="235633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6). Уровень жизни населения;</w:t>
      </w:r>
    </w:p>
    <w:p w14:paraId="767798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7). Труд и занятость;</w:t>
      </w:r>
    </w:p>
    <w:p w14:paraId="2CB4BF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8). Демография;</w:t>
      </w:r>
    </w:p>
    <w:p w14:paraId="4152CD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9). Бюджет муниципального образования;</w:t>
      </w:r>
    </w:p>
    <w:p w14:paraId="48A231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10). О текущих планах администрации.</w:t>
      </w:r>
    </w:p>
    <w:p w14:paraId="2BE516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пояснительной записке к прогнозу:</w:t>
      </w:r>
    </w:p>
    <w:p w14:paraId="41456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указываются основания и исходные данные для разработки прогноза;</w:t>
      </w:r>
    </w:p>
    <w:p w14:paraId="35377E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рассматриваются значения и параметры изменений основных социально-экономических показателей за отчетный финансовый год;</w:t>
      </w:r>
    </w:p>
    <w:p w14:paraId="12D49E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дается количественная и качественная оценка значений показателей и параметров их изменения в текущем году, указываются возможные причины и факторы происходящих изменений;</w:t>
      </w:r>
    </w:p>
    <w:p w14:paraId="5522C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описывается динамика изменения показателей в прогнозируемом периоде, возможные причины и факторы прогнозируемых изменений;</w:t>
      </w:r>
    </w:p>
    <w:p w14:paraId="6E8F68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приводится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изменений;</w:t>
      </w:r>
    </w:p>
    <w:p w14:paraId="011EC2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стоимостные показатели прогнозируемого периода рассчитываются с учетом изменения ценовых параметров: динамики индексов цен и индексов дефляторов цен, что необходимо учитывать при пересчете в сопоставимых ценах.</w:t>
      </w:r>
    </w:p>
    <w:p w14:paraId="06F6D411">
      <w:pPr>
        <w:ind w:firstLine="567"/>
        <w:jc w:val="both"/>
        <w:rPr>
          <w:sz w:val="24"/>
          <w:szCs w:val="24"/>
        </w:rPr>
      </w:pPr>
    </w:p>
    <w:p w14:paraId="58744E35">
      <w:pPr>
        <w:ind w:firstLine="567"/>
        <w:jc w:val="both"/>
        <w:rPr>
          <w:sz w:val="24"/>
          <w:szCs w:val="24"/>
        </w:rPr>
      </w:pPr>
    </w:p>
    <w:p w14:paraId="33F6B72E">
      <w:pPr>
        <w:ind w:firstLine="567"/>
        <w:jc w:val="both"/>
        <w:rPr>
          <w:sz w:val="24"/>
          <w:szCs w:val="24"/>
        </w:rPr>
      </w:pPr>
    </w:p>
    <w:p w14:paraId="0D6187E1">
      <w:pPr>
        <w:ind w:firstLine="567"/>
        <w:jc w:val="both"/>
        <w:rPr>
          <w:sz w:val="24"/>
          <w:szCs w:val="24"/>
        </w:rPr>
      </w:pPr>
    </w:p>
    <w:p w14:paraId="6C8B764B">
      <w:pPr>
        <w:spacing w:after="0"/>
        <w:ind w:left="6237"/>
        <w:rPr>
          <w:rFonts w:ascii="Times New Roman" w:hAnsi="Times New Roman"/>
          <w:sz w:val="24"/>
          <w:szCs w:val="28"/>
        </w:rPr>
      </w:pPr>
    </w:p>
    <w:p w14:paraId="023814DE">
      <w:pPr>
        <w:spacing w:after="0"/>
        <w:ind w:left="6237"/>
        <w:rPr>
          <w:rFonts w:ascii="Times New Roman" w:hAnsi="Times New Roman"/>
          <w:sz w:val="24"/>
          <w:szCs w:val="28"/>
        </w:rPr>
      </w:pPr>
    </w:p>
    <w:p w14:paraId="6A2A6F40"/>
    <w:sectPr>
      <w:footerReference r:id="rId5" w:type="default"/>
      <w:pgSz w:w="11906" w:h="16838"/>
      <w:pgMar w:top="1134" w:right="850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9205665"/>
      <w:docPartObj>
        <w:docPartGallery w:val="autotext"/>
      </w:docPartObj>
    </w:sdtPr>
    <w:sdtContent>
      <w:p w14:paraId="3EE34B23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4713C6B5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6B3D80"/>
    <w:rsid w:val="000C5111"/>
    <w:rsid w:val="002F4732"/>
    <w:rsid w:val="00405FFA"/>
    <w:rsid w:val="005A70F2"/>
    <w:rsid w:val="005C4AE7"/>
    <w:rsid w:val="006932D7"/>
    <w:rsid w:val="006B3D80"/>
    <w:rsid w:val="007874AF"/>
    <w:rsid w:val="007953F3"/>
    <w:rsid w:val="008A1701"/>
    <w:rsid w:val="00D25081"/>
    <w:rsid w:val="00D76FC1"/>
    <w:rsid w:val="00FB0336"/>
    <w:rsid w:val="03D0288E"/>
    <w:rsid w:val="2FD41B4E"/>
    <w:rsid w:val="486120D6"/>
    <w:rsid w:val="57321F5C"/>
    <w:rsid w:val="5DC56FD1"/>
    <w:rsid w:val="7685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13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Body Text Indent"/>
    <w:basedOn w:val="1"/>
    <w:link w:val="8"/>
    <w:semiHidden/>
    <w:unhideWhenUsed/>
    <w:qFormat/>
    <w:uiPriority w:val="0"/>
    <w:pPr>
      <w:spacing w:after="0" w:line="240" w:lineRule="auto"/>
      <w:ind w:firstLine="709"/>
      <w:jc w:val="both"/>
    </w:pPr>
    <w:rPr>
      <w:rFonts w:ascii="Times New Roman CYR" w:hAnsi="Times New Roman CYR" w:eastAsia="Times New Roman"/>
      <w:sz w:val="20"/>
      <w:szCs w:val="20"/>
      <w:lang w:eastAsia="ru-RU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List"/>
    <w:basedOn w:val="1"/>
    <w:qFormat/>
    <w:uiPriority w:val="0"/>
    <w:pPr>
      <w:spacing w:after="0" w:line="240" w:lineRule="auto"/>
      <w:ind w:left="283" w:hanging="283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8">
    <w:name w:val="Основной текст с отступом Знак"/>
    <w:basedOn w:val="2"/>
    <w:link w:val="5"/>
    <w:semiHidden/>
    <w:qFormat/>
    <w:uiPriority w:val="0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customStyle="1" w:styleId="9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character" w:customStyle="1" w:styleId="10">
    <w:name w:val="Font Style13"/>
    <w:basedOn w:val="2"/>
    <w:qFormat/>
    <w:uiPriority w:val="0"/>
    <w:rPr>
      <w:rFonts w:hint="default" w:ascii="Times New Roman" w:hAnsi="Times New Roman" w:cs="Times New Roman"/>
      <w:sz w:val="20"/>
      <w:szCs w:val="20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paragraph" w:customStyle="1" w:styleId="12">
    <w:name w:val="Абзац списка2"/>
    <w:basedOn w:val="1"/>
    <w:qFormat/>
    <w:uiPriority w:val="0"/>
    <w:pPr>
      <w:widowControl w:val="0"/>
      <w:suppressAutoHyphens/>
      <w:spacing w:after="0" w:line="240" w:lineRule="auto"/>
      <w:ind w:left="720"/>
    </w:pPr>
    <w:rPr>
      <w:rFonts w:ascii="Times New Roman" w:hAnsi="Times New Roman" w:eastAsia="Lucida Sans Unicode" w:cs="Mangal"/>
      <w:kern w:val="1"/>
      <w:sz w:val="24"/>
      <w:szCs w:val="24"/>
      <w:lang w:eastAsia="hi-IN" w:bidi="hi-IN"/>
    </w:rPr>
  </w:style>
  <w:style w:type="character" w:customStyle="1" w:styleId="13">
    <w:name w:val="Верхний колонтитул Знак"/>
    <w:basedOn w:val="2"/>
    <w:link w:val="4"/>
    <w:semiHidden/>
    <w:qFormat/>
    <w:uiPriority w:val="99"/>
    <w:rPr>
      <w:rFonts w:ascii="Calibri" w:hAnsi="Calibri" w:eastAsia="Calibri" w:cs="Times New Roman"/>
    </w:rPr>
  </w:style>
  <w:style w:type="character" w:customStyle="1" w:styleId="14">
    <w:name w:val="Нижний колонтитул Знак"/>
    <w:basedOn w:val="2"/>
    <w:link w:val="6"/>
    <w:qFormat/>
    <w:uiPriority w:val="99"/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1432</Words>
  <Characters>8164</Characters>
  <Lines>68</Lines>
  <Paragraphs>19</Paragraphs>
  <TotalTime>12</TotalTime>
  <ScaleCrop>false</ScaleCrop>
  <LinksUpToDate>false</LinksUpToDate>
  <CharactersWithSpaces>9577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2023-07-31T11:54:00Z</dcterms:created>
  <dc:creator>2014</dc:creator>
  <cp:lastModifiedBy>007</cp:lastModifiedBy>
  <cp:lastPrinted>2023-08-03T10:47:00Z</cp:lastPrinted>
  <dcterms:modified xsi:type="dcterms:W3CDTF">2024-06-21T08:29:14Z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2D0538CE1B8C40C48D1353E1C033C1CC_12</vt:lpwstr>
  </property>
</Properties>
</file>